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C9E75" w14:textId="2EC5C201" w:rsidR="009F4ADE" w:rsidRDefault="001D09E4" w:rsidP="001D09E4">
      <w:pPr>
        <w:ind w:left="8080"/>
        <w:jc w:val="right"/>
        <w:rPr>
          <w:rFonts w:ascii="Calibri" w:hAnsi="Calibri" w:cs="Calibri"/>
          <w:b/>
          <w:bCs/>
          <w:sz w:val="28"/>
          <w:szCs w:val="28"/>
        </w:rPr>
      </w:pPr>
      <w:r>
        <w:rPr>
          <w:rFonts w:ascii="Calibri" w:hAnsi="Calibri" w:cs="Calibri"/>
          <w:b/>
          <w:bCs/>
          <w:sz w:val="28"/>
          <w:szCs w:val="28"/>
        </w:rPr>
        <w:t xml:space="preserve">ANNEXE </w:t>
      </w:r>
      <w:r w:rsidR="00A37662">
        <w:rPr>
          <w:rFonts w:ascii="Calibri" w:hAnsi="Calibri" w:cs="Calibri"/>
          <w:b/>
          <w:bCs/>
          <w:sz w:val="28"/>
          <w:szCs w:val="28"/>
        </w:rPr>
        <w:t>1</w:t>
      </w:r>
      <w:r>
        <w:rPr>
          <w:rFonts w:ascii="Calibri" w:hAnsi="Calibri" w:cs="Calibri"/>
          <w:b/>
          <w:bCs/>
          <w:sz w:val="28"/>
          <w:szCs w:val="28"/>
        </w:rPr>
        <w:t xml:space="preserve"> </w:t>
      </w:r>
    </w:p>
    <w:p w14:paraId="1507D18D" w14:textId="77777777" w:rsidR="009F4ADE" w:rsidRDefault="009F4ADE">
      <w:pPr>
        <w:ind w:left="8496"/>
        <w:jc w:val="center"/>
        <w:rPr>
          <w:rFonts w:ascii="Calibri" w:hAnsi="Calibri" w:cs="Calibri"/>
          <w:b/>
          <w:bCs/>
          <w:sz w:val="28"/>
          <w:szCs w:val="28"/>
        </w:rPr>
      </w:pPr>
    </w:p>
    <w:p w14:paraId="67FEDDB8" w14:textId="77777777" w:rsidR="009F4ADE" w:rsidRDefault="001D09E4">
      <w:pPr>
        <w:ind w:left="567"/>
        <w:jc w:val="both"/>
        <w:rPr>
          <w:rFonts w:ascii="Calibri" w:hAnsi="Calibri" w:cs="Calibri"/>
          <w:bCs/>
          <w:sz w:val="22"/>
          <w:szCs w:val="22"/>
          <w:u w:val="single"/>
        </w:rPr>
      </w:pPr>
      <w:r>
        <w:rPr>
          <w:rFonts w:ascii="Calibri" w:hAnsi="Calibri" w:cs="Calibri"/>
          <w:bCs/>
          <w:sz w:val="22"/>
          <w:szCs w:val="22"/>
          <w:u w:val="single"/>
        </w:rPr>
        <w:t xml:space="preserve">Extrait de l’Arrêté du Gouvernement de la Communauté française du 27 mai 2015 modifiant l'arrêté du Gouvernement de la Communauté française du 11 juillet 2002 déterminant pour l'enseignement fondamental les zones en application de l'article 13 du décret du 14 mars 1995 relatif à la promotion d'une école de la réussite dans l'enseignement fondamental </w:t>
      </w:r>
    </w:p>
    <w:p w14:paraId="378CD155" w14:textId="77777777" w:rsidR="009F4ADE" w:rsidRDefault="001D09E4">
      <w:pPr>
        <w:ind w:left="567"/>
        <w:jc w:val="both"/>
        <w:rPr>
          <w:rFonts w:ascii="Calibri" w:hAnsi="Calibri" w:cs="Calibri"/>
          <w:bCs/>
          <w:sz w:val="22"/>
          <w:szCs w:val="22"/>
        </w:rPr>
      </w:pPr>
      <w:r>
        <w:rPr>
          <w:rFonts w:ascii="Calibri" w:hAnsi="Calibri" w:cs="Calibri"/>
          <w:bCs/>
          <w:sz w:val="22"/>
          <w:szCs w:val="22"/>
        </w:rPr>
        <w:br/>
        <w:t>Article 1</w:t>
      </w:r>
      <w:r>
        <w:rPr>
          <w:rFonts w:ascii="Calibri" w:hAnsi="Calibri" w:cs="Calibri"/>
          <w:bCs/>
          <w:sz w:val="22"/>
          <w:szCs w:val="22"/>
          <w:vertAlign w:val="superscript"/>
        </w:rPr>
        <w:t>er</w:t>
      </w:r>
      <w:r>
        <w:rPr>
          <w:rFonts w:ascii="Calibri" w:hAnsi="Calibri" w:cs="Calibri"/>
          <w:bCs/>
          <w:sz w:val="22"/>
          <w:szCs w:val="22"/>
        </w:rPr>
        <w:t>. L'article 1</w:t>
      </w:r>
      <w:r>
        <w:rPr>
          <w:rFonts w:ascii="Calibri" w:hAnsi="Calibri" w:cs="Calibri"/>
          <w:bCs/>
          <w:sz w:val="22"/>
          <w:szCs w:val="22"/>
          <w:vertAlign w:val="superscript"/>
        </w:rPr>
        <w:t>er</w:t>
      </w:r>
      <w:r>
        <w:rPr>
          <w:rFonts w:ascii="Calibri" w:hAnsi="Calibri" w:cs="Calibri"/>
          <w:bCs/>
          <w:sz w:val="22"/>
          <w:szCs w:val="22"/>
        </w:rPr>
        <w:t xml:space="preserve"> de l'arrêté du Gouvernement de la Communauté française du 11 juillet 2002 déterminant pour l'enseignement fondamental les zones en application de l'article 13 du décret du 14 mars 1995 relatif à la promotion d'une école de la réussite dans l'enseignement fondamental est remplacé par :</w:t>
      </w:r>
      <w:r>
        <w:rPr>
          <w:rFonts w:ascii="Calibri" w:hAnsi="Calibri" w:cs="Calibri"/>
          <w:bCs/>
          <w:sz w:val="22"/>
          <w:szCs w:val="22"/>
        </w:rPr>
        <w:br/>
        <w:t>« Article 1</w:t>
      </w:r>
      <w:r>
        <w:rPr>
          <w:rFonts w:ascii="Calibri" w:hAnsi="Calibri" w:cs="Calibri"/>
          <w:bCs/>
          <w:sz w:val="22"/>
          <w:szCs w:val="22"/>
          <w:vertAlign w:val="superscript"/>
        </w:rPr>
        <w:t>er</w:t>
      </w:r>
      <w:r>
        <w:rPr>
          <w:rFonts w:ascii="Calibri" w:hAnsi="Calibri" w:cs="Calibri"/>
          <w:bCs/>
          <w:sz w:val="22"/>
          <w:szCs w:val="22"/>
        </w:rPr>
        <w:t xml:space="preserve">. - Sont constitués dix zones de </w:t>
      </w:r>
      <w:proofErr w:type="gramStart"/>
      <w:r>
        <w:rPr>
          <w:rFonts w:ascii="Calibri" w:hAnsi="Calibri" w:cs="Calibri"/>
          <w:bCs/>
          <w:sz w:val="22"/>
          <w:szCs w:val="22"/>
        </w:rPr>
        <w:t>concertation:</w:t>
      </w:r>
      <w:proofErr w:type="gramEnd"/>
    </w:p>
    <w:p w14:paraId="30477C87" w14:textId="77777777" w:rsidR="009F4ADE" w:rsidRDefault="001D09E4">
      <w:pPr>
        <w:ind w:left="567"/>
        <w:jc w:val="both"/>
        <w:rPr>
          <w:rFonts w:ascii="Calibri" w:hAnsi="Calibri" w:cs="Calibri"/>
          <w:bCs/>
          <w:sz w:val="22"/>
          <w:szCs w:val="22"/>
        </w:rPr>
      </w:pPr>
      <w:r>
        <w:rPr>
          <w:rFonts w:ascii="Calibri" w:hAnsi="Calibri" w:cs="Calibri"/>
          <w:bCs/>
          <w:sz w:val="22"/>
          <w:szCs w:val="22"/>
        </w:rPr>
        <w:br/>
        <w:t>1. La zone de Bruxelles est composée des 19 communes de la Région de Bruxelles-Capitale : Anderlecht, Auderghem, Berchem-Sainte-Agathe, Bruxelles, Etterbeek, Evere, Forest, Ganshoren, Ixelles, Jette, Koekelberg, Molenbeek-Saint-Jean, Saint-Gilles, Saint-Josse-ten-Noode, Schaerbeek, Uccle, Watermael-Boitsfort, Woluwe-Saint-Lambert, Woluwe-Saint Pierre.</w:t>
      </w:r>
    </w:p>
    <w:p w14:paraId="418107EE" w14:textId="77777777" w:rsidR="009F4ADE" w:rsidRDefault="001D09E4">
      <w:pPr>
        <w:ind w:left="567"/>
        <w:jc w:val="both"/>
        <w:rPr>
          <w:rFonts w:ascii="Calibri" w:hAnsi="Calibri" w:cs="Calibri"/>
          <w:bCs/>
          <w:sz w:val="22"/>
          <w:szCs w:val="22"/>
        </w:rPr>
      </w:pPr>
      <w:r>
        <w:rPr>
          <w:rFonts w:ascii="Calibri" w:hAnsi="Calibri" w:cs="Calibri"/>
          <w:bCs/>
          <w:sz w:val="22"/>
          <w:szCs w:val="22"/>
        </w:rPr>
        <w:br/>
        <w:t>2. La zone du Brabant Wallon est composée des communes suivantes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14:paraId="0E1A1AD8" w14:textId="77777777" w:rsidR="009F4ADE" w:rsidRDefault="009F4ADE">
      <w:pPr>
        <w:ind w:left="567"/>
        <w:jc w:val="both"/>
        <w:rPr>
          <w:rFonts w:ascii="Calibri" w:hAnsi="Calibri" w:cs="Calibri"/>
          <w:bCs/>
          <w:sz w:val="22"/>
          <w:szCs w:val="22"/>
        </w:rPr>
      </w:pPr>
    </w:p>
    <w:p w14:paraId="1A847ABB" w14:textId="77777777" w:rsidR="009F4ADE" w:rsidRDefault="001D09E4">
      <w:pPr>
        <w:ind w:left="567"/>
        <w:jc w:val="both"/>
        <w:rPr>
          <w:rFonts w:ascii="Calibri" w:hAnsi="Calibri" w:cs="Calibri"/>
          <w:bCs/>
          <w:sz w:val="22"/>
          <w:szCs w:val="22"/>
        </w:rPr>
      </w:pPr>
      <w:r>
        <w:rPr>
          <w:rFonts w:ascii="Calibri" w:hAnsi="Calibri" w:cs="Calibri"/>
          <w:bCs/>
          <w:sz w:val="22"/>
          <w:szCs w:val="22"/>
        </w:rPr>
        <w:t>3. La zone de Huy Waremme est composée des communes suivantes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14:paraId="67651C7E" w14:textId="77777777" w:rsidR="009F4ADE" w:rsidRDefault="001D09E4">
      <w:pPr>
        <w:ind w:left="567"/>
        <w:jc w:val="both"/>
        <w:rPr>
          <w:rFonts w:ascii="Calibri" w:hAnsi="Calibri" w:cs="Calibri"/>
          <w:bCs/>
          <w:sz w:val="22"/>
          <w:szCs w:val="22"/>
        </w:rPr>
      </w:pPr>
      <w:r>
        <w:rPr>
          <w:rFonts w:ascii="Calibri" w:hAnsi="Calibri" w:cs="Calibri"/>
          <w:bCs/>
          <w:sz w:val="22"/>
          <w:szCs w:val="22"/>
        </w:rPr>
        <w:br/>
        <w:t>4. La zone de Liège est composée des communes suivantes : Ans, Awans, Aywaille, Bassenge, Beyne-Heusay, Blegny, Chaudfontaine, Comblain-au-Pont, Dalhem, Esneux, Flémalle, Fléron, Grâce-Hollogne, Herstal, Juprelle, Liège, Neupré, Oupeye, Saint-Nicolas, Seraing, Soumagne, Sprimont, Trooz, Visé.</w:t>
      </w:r>
    </w:p>
    <w:p w14:paraId="2D02EF55" w14:textId="77777777" w:rsidR="009F4ADE" w:rsidRDefault="001D09E4">
      <w:pPr>
        <w:ind w:left="567"/>
        <w:jc w:val="both"/>
        <w:rPr>
          <w:rFonts w:ascii="Calibri" w:hAnsi="Calibri" w:cs="Calibri"/>
          <w:bCs/>
          <w:sz w:val="22"/>
          <w:szCs w:val="22"/>
        </w:rPr>
      </w:pPr>
      <w:r>
        <w:rPr>
          <w:rFonts w:ascii="Calibri" w:hAnsi="Calibri" w:cs="Calibri"/>
          <w:bCs/>
          <w:sz w:val="22"/>
          <w:szCs w:val="22"/>
        </w:rPr>
        <w:br/>
        <w:t>5. La zone de Verviers est composée des communes suivantes : Aubel, Baelen, Dison, Herve, Jalhay, Lierneux, Limbourg, Malmedy, Olne, Pepinster, Plombières, Spa, Stavelot, Stoumont, Theux, Thimister-Clermont, Trois-Ponts, Verviers, Waimes, Welkenraedt.</w:t>
      </w:r>
    </w:p>
    <w:p w14:paraId="64A45662" w14:textId="77777777" w:rsidR="009F4ADE" w:rsidRDefault="001D09E4">
      <w:pPr>
        <w:ind w:left="567"/>
        <w:jc w:val="both"/>
        <w:rPr>
          <w:rFonts w:ascii="Calibri" w:hAnsi="Calibri" w:cs="Calibri"/>
          <w:bCs/>
          <w:sz w:val="22"/>
          <w:szCs w:val="22"/>
        </w:rPr>
      </w:pPr>
      <w:r>
        <w:rPr>
          <w:rFonts w:ascii="Calibri" w:hAnsi="Calibri" w:cs="Calibri"/>
          <w:bCs/>
          <w:sz w:val="22"/>
          <w:szCs w:val="22"/>
        </w:rPr>
        <w:br/>
        <w:t>6. La zone de Namur est composée des communes suivantes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14:paraId="0F92EAE3" w14:textId="77777777" w:rsidR="009F4ADE" w:rsidRDefault="001D09E4">
      <w:pPr>
        <w:ind w:left="567"/>
        <w:jc w:val="both"/>
        <w:rPr>
          <w:rFonts w:ascii="Calibri" w:hAnsi="Calibri" w:cs="Calibri"/>
          <w:bCs/>
          <w:sz w:val="22"/>
          <w:szCs w:val="22"/>
        </w:rPr>
      </w:pPr>
      <w:r>
        <w:rPr>
          <w:rFonts w:ascii="Calibri" w:hAnsi="Calibri" w:cs="Calibri"/>
          <w:bCs/>
          <w:sz w:val="22"/>
          <w:szCs w:val="22"/>
        </w:rPr>
        <w:br/>
        <w:t>7. La zone du Luxembourg est composée des communes suivantes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14:paraId="1249AE8E" w14:textId="77777777" w:rsidR="009F4ADE" w:rsidRDefault="001D09E4">
      <w:pPr>
        <w:ind w:left="567"/>
        <w:jc w:val="both"/>
        <w:rPr>
          <w:rFonts w:ascii="Calibri" w:hAnsi="Calibri" w:cs="Calibri"/>
          <w:bCs/>
          <w:sz w:val="22"/>
          <w:szCs w:val="22"/>
        </w:rPr>
      </w:pPr>
      <w:r>
        <w:rPr>
          <w:rFonts w:ascii="Calibri" w:hAnsi="Calibri" w:cs="Calibri"/>
          <w:bCs/>
          <w:sz w:val="22"/>
          <w:szCs w:val="22"/>
        </w:rPr>
        <w:br/>
        <w:t>8. La zone de Wallonie Picarde est composée des communes suivantes : Antoing, Ath, Beloeil, Bernissart, Brugelette, Brunehaut, Celles, Chièvres, Comines-Warneton, Ellezelles, Enghien, Estaimpuis, Flobecq, Frasnes-lez-Anvaing, Lessines, Leuze-en-Hainaut, Mont-de-l'Enclus, Mouscron, Pecq, Péruwelz, Rumes, Silly, Tournai.</w:t>
      </w:r>
    </w:p>
    <w:p w14:paraId="2FBA37E2" w14:textId="77777777" w:rsidR="009F4ADE" w:rsidRDefault="001D09E4">
      <w:pPr>
        <w:ind w:left="567"/>
        <w:jc w:val="both"/>
        <w:rPr>
          <w:rFonts w:ascii="Calibri" w:hAnsi="Calibri" w:cs="Calibri"/>
          <w:bCs/>
          <w:sz w:val="22"/>
          <w:szCs w:val="22"/>
        </w:rPr>
      </w:pPr>
      <w:r>
        <w:rPr>
          <w:rFonts w:ascii="Calibri" w:hAnsi="Calibri" w:cs="Calibri"/>
          <w:bCs/>
          <w:sz w:val="22"/>
          <w:szCs w:val="22"/>
        </w:rPr>
        <w:br/>
        <w:t xml:space="preserve">9. La zone de Hainaut Centre est composée des communes suivantes : Binche, Boussu, Braine-le-Comte, Chapelle-lez-Herlaimont, Colfontaine, Dour, Ecaussines, Estinnes, Frameries, Hensies, Honnelles, Jurbise, La </w:t>
      </w:r>
      <w:r>
        <w:rPr>
          <w:rFonts w:ascii="Calibri" w:hAnsi="Calibri" w:cs="Calibri"/>
          <w:bCs/>
          <w:sz w:val="22"/>
          <w:szCs w:val="22"/>
        </w:rPr>
        <w:lastRenderedPageBreak/>
        <w:t>Louvière, Lens, Le Roeulx, Manage, Mons, Morlanwelz, Quaregnon, Quévy, Quiévrain, Saint-Ghislain, Seneffe, Soignies.</w:t>
      </w:r>
    </w:p>
    <w:p w14:paraId="15FE98B8" w14:textId="77777777" w:rsidR="009F4ADE" w:rsidRDefault="001D09E4">
      <w:pPr>
        <w:ind w:left="567"/>
        <w:jc w:val="both"/>
        <w:rPr>
          <w:rFonts w:ascii="Calibri" w:hAnsi="Calibri" w:cs="Calibri"/>
          <w:bCs/>
          <w:sz w:val="22"/>
          <w:szCs w:val="22"/>
        </w:rPr>
      </w:pPr>
      <w:r>
        <w:rPr>
          <w:rFonts w:ascii="Calibri" w:hAnsi="Calibri" w:cs="Calibri"/>
          <w:bCs/>
          <w:sz w:val="22"/>
          <w:szCs w:val="22"/>
        </w:rPr>
        <w:br/>
        <w:t>10. La zone de Hainaut Sud est composée des communes suivantes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roofErr w:type="gramStart"/>
      <w:r>
        <w:rPr>
          <w:rFonts w:ascii="Calibri" w:hAnsi="Calibri" w:cs="Calibri"/>
          <w:bCs/>
          <w:sz w:val="22"/>
          <w:szCs w:val="22"/>
        </w:rPr>
        <w:t>.»</w:t>
      </w:r>
      <w:proofErr w:type="gramEnd"/>
    </w:p>
    <w:p w14:paraId="6335867C" w14:textId="77777777" w:rsidR="009F4ADE" w:rsidRDefault="009F4ADE" w:rsidP="001D09E4">
      <w:pPr>
        <w:jc w:val="both"/>
      </w:pPr>
    </w:p>
    <w:sectPr w:rsidR="009F4ADE">
      <w:footerReference w:type="even" r:id="rId6"/>
      <w:footerReference w:type="default" r:id="rId7"/>
      <w:headerReference w:type="first" r:id="rId8"/>
      <w:pgSz w:w="11907" w:h="16840"/>
      <w:pgMar w:top="851" w:right="851" w:bottom="709" w:left="851" w:header="720" w:footer="4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CF17" w14:textId="77777777" w:rsidR="009F4ADE" w:rsidRDefault="001D09E4">
      <w:r>
        <w:separator/>
      </w:r>
    </w:p>
  </w:endnote>
  <w:endnote w:type="continuationSeparator" w:id="0">
    <w:p w14:paraId="2D59FDB3" w14:textId="77777777" w:rsidR="009F4ADE" w:rsidRDefault="001D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1768C" w14:textId="77777777" w:rsidR="009F4ADE" w:rsidRDefault="001D09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F4D9987" w14:textId="77777777" w:rsidR="009F4ADE" w:rsidRDefault="009F4AD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60727" w14:textId="77777777" w:rsidR="009F4ADE" w:rsidRDefault="001D09E4">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p w14:paraId="2FAD4CF8" w14:textId="77777777" w:rsidR="009F4ADE" w:rsidRDefault="009F4ADE">
    <w:pPr>
      <w:pStyle w:val="Pieddepage"/>
      <w:framePr w:wrap="around" w:vAnchor="text" w:hAnchor="margin" w:xAlign="center" w:y="1"/>
      <w:ind w:right="360"/>
      <w:rPr>
        <w:rStyle w:val="Numrodepage"/>
      </w:rPr>
    </w:pPr>
  </w:p>
  <w:p w14:paraId="266E8BDB" w14:textId="77777777" w:rsidR="009F4ADE" w:rsidRDefault="009F4ADE">
    <w:pPr>
      <w:pStyle w:val="Pieddepage"/>
      <w:tabs>
        <w:tab w:val="clear" w:pos="4536"/>
        <w:tab w:val="clear" w:pos="907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05B58" w14:textId="77777777" w:rsidR="009F4ADE" w:rsidRDefault="001D09E4">
      <w:r>
        <w:separator/>
      </w:r>
    </w:p>
  </w:footnote>
  <w:footnote w:type="continuationSeparator" w:id="0">
    <w:p w14:paraId="1A8F20DE" w14:textId="77777777" w:rsidR="009F4ADE" w:rsidRDefault="001D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B7D4" w14:textId="77777777" w:rsidR="009F4ADE" w:rsidRDefault="009F4AD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ADE"/>
    <w:rsid w:val="001D09E4"/>
    <w:rsid w:val="009F4ADE"/>
    <w:rsid w:val="00A37662"/>
    <w:rsid w:val="00FF5E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0FD79"/>
  <w15:chartTrackingRefBased/>
  <w15:docId w15:val="{86B05398-7E96-41AA-BBE3-9FF7F6EE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3730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3</cp:revision>
  <cp:lastPrinted>2019-03-01T14:32:00Z</cp:lastPrinted>
  <dcterms:created xsi:type="dcterms:W3CDTF">2021-04-01T07:45:00Z</dcterms:created>
  <dcterms:modified xsi:type="dcterms:W3CDTF">2025-05-07T11:22:00Z</dcterms:modified>
</cp:coreProperties>
</file>